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w:t>
      </w:r>
      <w:r>
        <w:rPr>
          <w:rFonts w:ascii="方正小标宋简体" w:hAnsi="仿宋" w:eastAsia="方正小标宋简体"/>
          <w:sz w:val="44"/>
          <w:szCs w:val="44"/>
        </w:rPr>
        <w:t>024</w:t>
      </w:r>
      <w:r>
        <w:rPr>
          <w:rFonts w:hint="eastAsia" w:ascii="方正小标宋简体" w:hAnsi="仿宋" w:eastAsia="方正小标宋简体"/>
          <w:sz w:val="44"/>
          <w:szCs w:val="44"/>
        </w:rPr>
        <w:t>年度成都市哲学社会科学规划项目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选题指南</w:t>
      </w:r>
    </w:p>
    <w:tbl>
      <w:tblPr>
        <w:tblStyle w:val="2"/>
        <w:tblW w:w="8555" w:type="dxa"/>
        <w:jc w:val="center"/>
        <w:tblLayout w:type="fixed"/>
        <w:tblCellMar>
          <w:top w:w="0" w:type="dxa"/>
          <w:left w:w="108" w:type="dxa"/>
          <w:bottom w:w="0" w:type="dxa"/>
          <w:right w:w="108" w:type="dxa"/>
        </w:tblCellMar>
      </w:tblPr>
      <w:tblGrid>
        <w:gridCol w:w="1042"/>
        <w:gridCol w:w="7513"/>
      </w:tblGrid>
      <w:tr>
        <w:tblPrEx>
          <w:tblCellMar>
            <w:top w:w="0" w:type="dxa"/>
            <w:left w:w="108" w:type="dxa"/>
            <w:bottom w:w="0" w:type="dxa"/>
            <w:right w:w="108" w:type="dxa"/>
          </w:tblCellMar>
        </w:tblPrEx>
        <w:trPr>
          <w:trHeight w:val="567" w:hRule="exact"/>
          <w:jc w:val="center"/>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宋体"/>
                <w:sz w:val="28"/>
                <w:szCs w:val="28"/>
              </w:rPr>
            </w:pPr>
            <w:r>
              <w:rPr>
                <w:rFonts w:hint="eastAsia" w:ascii="黑体" w:hAnsi="黑体" w:eastAsia="黑体" w:cs="宋体"/>
                <w:kern w:val="0"/>
                <w:sz w:val="28"/>
                <w:szCs w:val="28"/>
                <w:lang w:bidi="ar"/>
              </w:rPr>
              <w:t>序 号</w:t>
            </w:r>
          </w:p>
        </w:tc>
        <w:tc>
          <w:tcPr>
            <w:tcW w:w="7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宋体"/>
                <w:sz w:val="28"/>
                <w:szCs w:val="28"/>
              </w:rPr>
            </w:pPr>
            <w:r>
              <w:rPr>
                <w:rFonts w:hint="eastAsia" w:ascii="黑体" w:hAnsi="黑体" w:eastAsia="黑体" w:cs="宋体"/>
                <w:kern w:val="0"/>
                <w:sz w:val="28"/>
                <w:szCs w:val="28"/>
                <w:lang w:bidi="ar"/>
              </w:rPr>
              <w:t xml:space="preserve">选 </w:t>
            </w:r>
            <w:r>
              <w:rPr>
                <w:rFonts w:ascii="黑体" w:hAnsi="黑体" w:eastAsia="黑体" w:cs="宋体"/>
                <w:kern w:val="0"/>
                <w:sz w:val="28"/>
                <w:szCs w:val="28"/>
                <w:lang w:bidi="ar"/>
              </w:rPr>
              <w:t xml:space="preserve"> </w:t>
            </w:r>
            <w:r>
              <w:rPr>
                <w:rFonts w:hint="eastAsia" w:ascii="黑体" w:hAnsi="黑体" w:eastAsia="黑体" w:cs="宋体"/>
                <w:kern w:val="0"/>
                <w:sz w:val="28"/>
                <w:szCs w:val="28"/>
                <w:lang w:bidi="ar"/>
              </w:rPr>
              <w:t xml:space="preserve">题  指 </w:t>
            </w:r>
            <w:r>
              <w:rPr>
                <w:rFonts w:ascii="黑体" w:hAnsi="黑体" w:eastAsia="黑体" w:cs="宋体"/>
                <w:kern w:val="0"/>
                <w:sz w:val="28"/>
                <w:szCs w:val="28"/>
                <w:lang w:bidi="ar"/>
              </w:rPr>
              <w:t xml:space="preserve"> </w:t>
            </w:r>
            <w:r>
              <w:rPr>
                <w:rFonts w:hint="eastAsia" w:ascii="黑体" w:hAnsi="黑体" w:eastAsia="黑体" w:cs="宋体"/>
                <w:kern w:val="0"/>
                <w:sz w:val="28"/>
                <w:szCs w:val="28"/>
                <w:lang w:bidi="ar"/>
              </w:rPr>
              <w:t>南</w:t>
            </w:r>
          </w:p>
        </w:tc>
      </w:tr>
      <w:tr>
        <w:tblPrEx>
          <w:tblCellMar>
            <w:top w:w="0" w:type="dxa"/>
            <w:left w:w="108" w:type="dxa"/>
            <w:bottom w:w="0" w:type="dxa"/>
            <w:right w:w="108" w:type="dxa"/>
          </w:tblCellMar>
        </w:tblPrEx>
        <w:trPr>
          <w:trHeight w:val="90" w:hRule="exact"/>
          <w:jc w:val="cent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c>
          <w:tcPr>
            <w:tcW w:w="7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eastAsia="仿宋_GB2312" w:hAnsiTheme="minorEastAsia" w:cstheme="minorEastAsia"/>
                <w:kern w:val="0"/>
                <w:sz w:val="28"/>
                <w:szCs w:val="28"/>
                <w:lang w:bidi="ar"/>
              </w:rPr>
            </w:pPr>
            <w:r>
              <w:rPr>
                <w:rFonts w:hint="eastAsia" w:ascii="仿宋_GB2312" w:eastAsia="仿宋_GB2312" w:hAnsiTheme="minorEastAsia" w:cstheme="minorEastAsia"/>
                <w:kern w:val="0"/>
                <w:sz w:val="28"/>
                <w:szCs w:val="28"/>
                <w:lang w:bidi="ar"/>
              </w:rPr>
              <w:t>中国式现代化万千气象的成都实践研究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eastAsia="仿宋_GB2312" w:hAnsiTheme="minorEastAsia" w:cstheme="minorEastAsia"/>
                <w:kern w:val="0"/>
                <w:sz w:val="28"/>
                <w:szCs w:val="28"/>
                <w:lang w:bidi="ar"/>
              </w:rPr>
              <w:t>成都在四川加强国家发展战略腹地建设中的功能布局和地位作用研究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成都在建设国家制造业产业链供应链战略备份基地中的着力重点研究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中国特色超大城市现代化治理研究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宋体"/>
                <w:kern w:val="0"/>
                <w:sz w:val="28"/>
                <w:szCs w:val="28"/>
                <w:lang w:bidi="ar"/>
              </w:rPr>
            </w:pPr>
            <w:r>
              <w:rPr>
                <w:rFonts w:hint="eastAsia" w:ascii="仿宋_GB2312" w:eastAsia="仿宋_GB2312" w:hAnsiTheme="minorEastAsia" w:cstheme="minorEastAsia"/>
                <w:kern w:val="0"/>
                <w:sz w:val="28"/>
                <w:szCs w:val="28"/>
                <w:lang w:bidi="ar"/>
              </w:rPr>
              <w:t>成都加快培育新质生产力路径研究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成都高质量对接东部地区产业新布局研究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成都加快推进西部中试中心建设研究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成都推进创新链产业链资金链人才链融合的对策研究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构建成都算力生态研究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成都推进人工智能产业发展路径研究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成都加快发展低空经济路径研究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成都培育未来产业的路径研究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成都新能源产业重点和发展路径研究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成都建设国际消费中心城市的策略研究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成都构建新型能源体系研究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成都新经济业态发展现状与安全风险应对策略研究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成都建设现代金融体系的路径研究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成都科技创新与科技成果转化协同发力机制研究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天府大道科技创新走廊建设研究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高质量区域创新体系构建研究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成都数据要素市场体系建设研究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科技创新引领成都现代化产业体系建设研究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成渝地区双城经济圈制造业数实融合机制与对策研究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成都市“专精特新”小巨人企业高质量发展研究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成渝地区双城经济圈科技创新指数研究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成都市培育壮大新型消费经济的对策研究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培育外贸新动能背景下成都市跨境电商发展路径研究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成都重点产业园区储能电站建设研究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成都都市圈协同打造先进制造业集群的路径研究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完善成德眉资同城化发展体制机制研究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成渝地区高水平共建西部陆海新通道的对策研究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成渝地区双城经济圈极核城市共建西部金融中心的路径研究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成渝地区双城经济圈建设中重大风险防范的机制研究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川渝自贸试验区协同改革先行区建设研究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sz w:val="28"/>
                <w:szCs w:val="28"/>
              </w:rPr>
            </w:pPr>
            <w:r>
              <w:rPr>
                <w:rFonts w:hint="eastAsia" w:ascii="仿宋_GB2312" w:eastAsia="仿宋_GB2312" w:hAnsiTheme="minorEastAsia" w:cstheme="minorEastAsia"/>
                <w:kern w:val="0"/>
                <w:sz w:val="28"/>
                <w:szCs w:val="28"/>
                <w:lang w:bidi="ar"/>
              </w:rPr>
              <w:t>成渝地区双城经济圈县域物流配送体系数字化转型研究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数字赋能城乡融合高质量发展研究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成都提质发展新型农村集体经济研究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成都城乡融合发展体制机制改革研究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eastAsia="仿宋_GB2312" w:hAnsiTheme="minorEastAsia" w:cstheme="minorEastAsia"/>
                <w:kern w:val="0"/>
                <w:sz w:val="28"/>
                <w:szCs w:val="28"/>
                <w:lang w:bidi="ar"/>
              </w:rPr>
              <w:t>成都主要农产品供应安全保障研究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成都预制食材产业发展前景和路径研究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成都深化结对联动发展模式研究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“双碳”目标下成都交通结构优化策略研究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成都市优化科技伦理治理机制研究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成都推进共同富裕的现状、问题及路径研究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成都市财政治理现代化研究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eastAsia="仿宋_GB2312" w:hAnsiTheme="minorEastAsia" w:cstheme="minorEastAsia"/>
                <w:kern w:val="0"/>
                <w:sz w:val="28"/>
                <w:szCs w:val="28"/>
                <w:lang w:bidi="ar"/>
              </w:rPr>
              <w:t>成都优化外贸进出口结构的对策研究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成都加快推进安全体系和能力现代化建设研究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超大城市公共安全风险防范化解对策研究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成都市政府数字治理能力提升研究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成都打造“更高水平天府粮仓”大地景观和生态廊道研究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w:t>
            </w:r>
            <w:bookmarkStart w:id="0" w:name="_GoBack"/>
            <w:bookmarkEnd w:id="0"/>
            <w:r>
              <w:rPr>
                <w:rFonts w:hint="eastAsia" w:ascii="仿宋_GB2312" w:hAnsi="宋体" w:eastAsia="仿宋_GB2312" w:cs="宋体"/>
                <w:kern w:val="0"/>
                <w:sz w:val="28"/>
                <w:szCs w:val="28"/>
                <w:lang w:bidi="ar"/>
              </w:rPr>
              <w:t>铸牢长江黄河上游生态屏障的对策研究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成都探索“碳足迹”综合管理体系研究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成都建设人与自然和谐共生的美丽城市的对策研究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发挥世园会综合效应助推公园城市示范区建设研究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新时代背景下超大城市生态环境治理研究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成都城市生物多样性保护研究</w:t>
            </w:r>
            <w:r>
              <w:rPr>
                <w:rFonts w:hint="eastAsia" w:ascii="仿宋_GB2312" w:hAnsi="宋体" w:eastAsia="仿宋_GB2312" w:cs="宋体"/>
                <w:kern w:val="0"/>
                <w:sz w:val="28"/>
                <w:szCs w:val="28"/>
                <w:lang w:bidi="ar"/>
              </w:rPr>
              <w:tab/>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成都推进城市有机更新的策略研究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智慧蓉城建设中的多场景应用研究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成都深化社会信用体系建设优化营商环境的路径研究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新就业群体劳动权益保障研究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新时代企业合规治理体系建设研究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民营企业合法权益的司法保护研究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习近平总书记关于党的建设的重要思想在成都的实践研究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加强党纪学习教育研究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kern w:val="0"/>
                <w:sz w:val="28"/>
                <w:szCs w:val="28"/>
                <w:lang w:bidi="ar"/>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统一战线在政企沟通中的作用发挥问题研究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kern w:val="0"/>
                <w:sz w:val="28"/>
                <w:szCs w:val="28"/>
                <w:lang w:bidi="ar"/>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铸牢中华民族共同体意识的成都实践研究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kern w:val="0"/>
                <w:sz w:val="28"/>
                <w:szCs w:val="28"/>
                <w:lang w:bidi="ar"/>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全过程人民民主的成都实践研究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kern w:val="0"/>
                <w:sz w:val="28"/>
                <w:szCs w:val="28"/>
                <w:lang w:bidi="ar"/>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eastAsia="仿宋_GB2312" w:hAnsiTheme="minorEastAsia" w:cstheme="minorEastAsia"/>
                <w:kern w:val="0"/>
                <w:sz w:val="28"/>
                <w:szCs w:val="28"/>
                <w:lang w:bidi="ar"/>
              </w:rPr>
              <w:t>成都城乡基层社区政治生态研究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成都劳动力现状及趋势预测研究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成都打造最具活力和幸福感城市的路径研究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成都都市圈人口发展与优化对策研究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新时代社会工作人才队伍建设研究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eastAsia="仿宋_GB2312" w:hAnsiTheme="minorEastAsia" w:cstheme="minorEastAsia"/>
                <w:kern w:val="0"/>
                <w:sz w:val="28"/>
                <w:szCs w:val="28"/>
                <w:lang w:bidi="ar"/>
              </w:rPr>
              <w:t>新时代产业工人队伍建设研究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社会组织在超大城市社会治理中的作用研究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成都城乡基层社会矛盾的协商化解机制研究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kern w:val="0"/>
                <w:sz w:val="28"/>
                <w:szCs w:val="28"/>
                <w:lang w:bidi="ar"/>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eastAsia="仿宋_GB2312" w:hAnsiTheme="minorEastAsia" w:cstheme="minorEastAsia"/>
                <w:kern w:val="0"/>
                <w:sz w:val="28"/>
                <w:szCs w:val="28"/>
                <w:lang w:bidi="ar"/>
              </w:rPr>
              <w:t>医养结合背景下成都优化养老服务体系建设研究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成都促进“银发经济”发展研究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成都建设“生育友好型”城市的路径和对策研究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成都流入人口结构研究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成都健全梯度化住房保障体系研究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成都职业教育产教融合机制研究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乡村振兴背景下成都农村教育改革研究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新时代成都青少年心理健康水平调查研究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成都加快发展文化经济研究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成都文化遗产活化利用研究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sz w:val="28"/>
                <w:szCs w:val="28"/>
              </w:rPr>
            </w:pPr>
            <w:r>
              <w:rPr>
                <w:rFonts w:hint="eastAsia" w:ascii="仿宋_GB2312" w:eastAsia="仿宋_GB2312" w:hAnsiTheme="minorEastAsia" w:cstheme="minorEastAsia"/>
                <w:kern w:val="0"/>
                <w:sz w:val="28"/>
                <w:szCs w:val="28"/>
                <w:lang w:bidi="ar"/>
              </w:rPr>
              <w:t>数智技术赋能城市文化国际化传播研究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科技政务新媒体传播力提升研究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蜀道文化传承与创新研究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kern w:val="0"/>
                <w:sz w:val="28"/>
                <w:szCs w:val="28"/>
                <w:lang w:bidi="ar"/>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eastAsia="仿宋_GB2312" w:hAnsiTheme="minorEastAsia" w:cstheme="minorEastAsia"/>
                <w:kern w:val="0"/>
                <w:sz w:val="28"/>
                <w:szCs w:val="28"/>
                <w:lang w:bidi="ar"/>
              </w:rPr>
              <w:t>成都基层公共文化服务社会化运营研究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kern w:val="0"/>
                <w:sz w:val="28"/>
                <w:szCs w:val="28"/>
                <w:lang w:bidi="ar"/>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新时代“清廉蓉城”建设理论与实践研究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eastAsia="仿宋_GB2312" w:hAnsiTheme="minorEastAsia" w:cstheme="minorEastAsia"/>
                <w:kern w:val="0"/>
                <w:sz w:val="28"/>
                <w:szCs w:val="28"/>
                <w:lang w:bidi="ar"/>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hAnsiTheme="minorEastAsia" w:cstheme="minorEastAsia"/>
                <w:kern w:val="0"/>
                <w:sz w:val="28"/>
                <w:szCs w:val="28"/>
                <w:lang w:bidi="ar"/>
              </w:rPr>
            </w:pPr>
            <w:r>
              <w:rPr>
                <w:rFonts w:hint="eastAsia" w:ascii="仿宋_GB2312" w:hAnsi="宋体" w:eastAsia="仿宋_GB2312" w:cs="宋体"/>
                <w:kern w:val="0"/>
                <w:sz w:val="28"/>
                <w:szCs w:val="28"/>
                <w:lang w:bidi="ar"/>
              </w:rPr>
              <w:t>成都提升大中小学“大思政课”质效的路径研究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成都大熊猫文化IP打造策略研究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成都中医药产业发展研究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成都历史文化档案文献开发研究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中华优秀文化传承的成都实践研究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传统节日的时代价值研究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成都“蓉易+”品牌建设研究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lang w:bidi="ar"/>
              </w:rPr>
              <w:t>“濯锦”文化背景下亲清政商关系构建研究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重大赛事文化活动的价值转化研究</w:t>
            </w:r>
          </w:p>
        </w:tc>
      </w:tr>
      <w:tr>
        <w:tblPrEx>
          <w:tblCellMar>
            <w:top w:w="0" w:type="dxa"/>
            <w:left w:w="108" w:type="dxa"/>
            <w:bottom w:w="0" w:type="dxa"/>
            <w:right w:w="108" w:type="dxa"/>
          </w:tblCellMar>
        </w:tblPrEx>
        <w:trPr>
          <w:trHeight w:val="567" w:hRule="exact"/>
          <w:jc w:val="center"/>
        </w:trPr>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idowControl/>
              <w:numPr>
                <w:ilvl w:val="0"/>
                <w:numId w:val="1"/>
              </w:numPr>
              <w:ind w:firstLineChars="0"/>
              <w:jc w:val="center"/>
              <w:textAlignment w:val="center"/>
              <w:rPr>
                <w:rFonts w:ascii="仿宋_GB2312" w:hAnsi="宋体" w:eastAsia="仿宋_GB2312" w:cs="宋体"/>
                <w:sz w:val="28"/>
                <w:szCs w:val="28"/>
              </w:rPr>
            </w:pPr>
          </w:p>
        </w:tc>
        <w:tc>
          <w:tcPr>
            <w:tcW w:w="751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成都芙蓉文化传承发展研究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154CC"/>
    <w:multiLevelType w:val="multilevel"/>
    <w:tmpl w:val="538154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464B"/>
    <w:rsid w:val="7FE7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2024-04-17T14:16:00Z</dcterms:created>
  <dc:creator>uos</dc:creator>
  <cp:lastModifiedBy>uos</cp:lastModifiedBy>
  <dcterms:modified xsi:type="dcterms:W3CDTF">2024-04-17T14:18:41Z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